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384"/>
        <w:gridCol w:w="2464"/>
        <w:gridCol w:w="2464"/>
        <w:gridCol w:w="1727"/>
        <w:gridCol w:w="2709"/>
        <w:gridCol w:w="1217"/>
      </w:tblGrid>
      <w:tr w:rsidR="00D756DD" w:rsidRPr="00D756DD" w:rsidTr="00D756DD">
        <w:trPr>
          <w:tblHeader/>
        </w:trPr>
        <w:tc>
          <w:tcPr>
            <w:tcW w:w="122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bookmarkStart w:id="0" w:name="_GoBack" w:colFirst="0" w:colLast="6"/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№ </w:t>
            </w:r>
          </w:p>
        </w:tc>
        <w:tc>
          <w:tcPr>
            <w:tcW w:w="366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Показатель оценивания </w:t>
            </w:r>
          </w:p>
        </w:tc>
        <w:tc>
          <w:tcPr>
            <w:tcW w:w="319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Значение показателя </w:t>
            </w:r>
          </w:p>
        </w:tc>
        <w:tc>
          <w:tcPr>
            <w:tcW w:w="311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Критерий </w:t>
            </w:r>
          </w:p>
        </w:tc>
        <w:tc>
          <w:tcPr>
            <w:tcW w:w="2392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Критичность </w:t>
            </w:r>
          </w:p>
        </w:tc>
        <w:tc>
          <w:tcPr>
            <w:tcW w:w="28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Магистральное направление/ключевое условие </w:t>
            </w:r>
          </w:p>
        </w:tc>
        <w:tc>
          <w:tcPr>
            <w:tcW w:w="244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b/>
                <w:color w:val="101828"/>
                <w:sz w:val="21"/>
                <w:szCs w:val="21"/>
                <w:lang w:eastAsia="ru-RU"/>
              </w:rPr>
              <w:t>Балльная оценка </w:t>
            </w:r>
          </w:p>
        </w:tc>
      </w:tr>
      <w:bookmarkEnd w:id="0"/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before="15" w:after="15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учебно-исследовательской и проектной деятельности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учебных планов одного или нескольких профилей обучения и (или) индивидуальных учебных планов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не менее 2 профилей и нескольких различных индивидуальных учебных планов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федеральных рабочих программ по учебным предметам (1‒11 классы) («критический» показатель) (с 1 сентября 2023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программ учебных предметов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Обеспечено учебниками и учебными пособиями в полном объеме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Предусмотрено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Углубленное изучение отдельных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и соблюдение требований локального акта, регламентирующего внутреннюю систему оценки качества образования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график оценочных процедур размещен на официальном сайте школы)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 выпускников 11 класса, получивших медаль «За особые успехи в учении»,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Отсутствие выпускников 9 класса, не получивших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 xml:space="preserve">Отсутствие выпускников 9 класса,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 получивших аттестаты об основном общем образовании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 xml:space="preserve">Функционирование объективной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 выпускников 11 класса, не получивших аттестаты о среднем общем образовании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рабочих программ курсов внеурочной деятельности, в том числе курса «Разговоры о важном»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Обучающимся обеспечено не менее 5‒9 часов еженедельных занятий внеурочной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в региональном этапе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Обеспечение удовлетворения образовательных интересов и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(или) призеров регионального этапа Всероссийской олимпиады школьников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Сетевая форма реализации общеобразовательных программ (наличие договора(-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ов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) о сетевой форме реализации общеобразовательных программ;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наличие общеобразовательных программ, реализуемых в сетевой форме)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Реализация программы (плана) мероприятий по обеспечению доступности и качества образования обучающихся с ОВЗ, с инвалидностью (или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развития инклюзивного образования и т. п.)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Реализация в течение 2 и более лет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Обеспечение условий для организации образования обучающихся с ограниченными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Обеспечено полностью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Обеспечено учебниками в полном объеме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33%1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Оснащены ТСО отдельные рабочие места для обучающихся с ОВЗ,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33%1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Предусмотрено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Создание условий для профессионального развития и совершенствования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 xml:space="preserve">Не менее 80% педагогических работников прошли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обучение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 xml:space="preserve">Обеспечение условий для организации образования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«Знание»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бесплатным горячим питанием учащихся начальных классов («критический»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 обучающихся начальных классов обеспечены горячим питанием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, употребления алкоголя и наркотических средств.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Более 5 мероприятий за учебный год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Реализация программы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Наличие общешкольной программы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и ее полноценная реализация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Наличие в образовательной организации спортивной инфраструктуры для занятий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Диверсификация деятельности школьных спортивных клубов (далее – ШСК) (по видам спорта)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 5 до 9 видов спорта в ШСК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 20% до 29% обучающихся постоянно посещают занятия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«Президентские спортивные игры»)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Участие обучающихся в спортивных мероприятиях на региональном и (или) всероссийском уровнях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 10 до 29% обучающихся, имеющих знак отличия ВФСК «ГТО», подтвержденный удостоверением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«Здоровье»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обучающихся, охваченных дополнительным образованием в общей численности обучающихся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77% и более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Программы разработаны и реализуются по 6 направленностям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 технологический кружок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33%1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кванториумы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, мобильные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кванториумы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, ДНК, «IT-кубы», «Точки роста»,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экостанции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Сетевая форма реализации дополнительных общеобразовательных программ с 2 и более организациями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Функционирование школьных творческих объединений (школьный театр, школьный музей, школьный музыкальный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 xml:space="preserve">коллектив, школьный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медиацентр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(телевидение, газета, журнал) и др.)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3‒4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театра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театра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музея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хора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хора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Функционирование школьного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медиацентра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(телевидение, газета, журнал и др.)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Функционирование школьного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медиацентра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30% и более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Использование государственных символов при обучении и воспитании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рабочей программы воспитания, в том числе для обучающихся с ОВЗ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календарного плана воспитательной работы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Совета родителей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Реализуются 1 программа краеведения и 1 программа школьного туризма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Совета обучающихся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первичного отделения РДДМ «Движение первых»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в реализации проекта «Орлята России» (при реализации начального общего образования)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в проекте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представительств детских и молодежных общественных объединений («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Юнармия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», «Большая перемена» и др.)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Обучающиеся участвуют в волонтерском движении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Реализация утвержденного календарного плана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деятельности в школе (в соответствии с календарным планом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деятельности, разработанным в субъекте РФ)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Определение заместителя директора, ответственного за реализацию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Наличие и использование дополнительных материалов по профориентации, в том числе мультимедийных, в учебных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предметах общеобразовательного цикла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6‒11 классов в мероприятиях проекта «Билет в будущее»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Использование единых подходов к штатному расписанию (количество административного персонала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на контингент, узкие специалисты)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В организации используются единые подходы к штатному расписанию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Условия педагогического труда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Условия педагогического труда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системы наставничества (положение о наставничестве, дорожная карта о его реализации, приказы)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методических объединений / кафедр / методических советов учителей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методических объединений / кафедр / методических советов классных руководителей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10% учителей и более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(за три последних года)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 менее 80%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педагогических работников, прошедших обучение по программам повышения квалификации по инструментам ЦОС, размещенным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в Федеральном реестре дополнительных профессиональных программ педагогического образования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 менее 80%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 менее 60%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Повышение квалификации штатных педагогов-психологов по программам, размещенным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100% штатных педагогов-психологов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 управленческой команды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Один учитель из числа учителей-предметников, преподающих математику, физику, информатику, химию, биологию, прошел обучение по программам, направленным на формирование у обучающихся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навыков, обеспечивающих технологический суверенитет страны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педагогов в конкурсном движении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Участие на всероссийском уровне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среди педагогов победителей и призеров конкурсов на всероссийском уровне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Подключение образовательной организации к высокоскоростному интернету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Предоставление безопасного доступа к информационно-коммуникационной сети Интернет 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Информационно-коммуникационная образовательная платформа «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Сферум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»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Сферум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Соответствует в полной мере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67%2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Информационная система управления образовательной организацией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интегрирована с региональными информационными системами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неучебных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занятий, творческих дел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пространства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пространства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школы полного дня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Сформированы коллегиальные органы управления в соответствии с Федеральным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законом «Об образовании в Российской Федерации», предусмотренные уставом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государственно-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общественного управления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общеобразовательной организации педагога-психолога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педагога-психолога в качестве: - внешнего совместителя и (или)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90% обучающихся и более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100%3 из 3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штате общеобразовательной организации учителя-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дефектолога, обеспечивающего оказание помощи целевым группам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Отсутствие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0%0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родителей; обучающимся с ОВЗ и (или) инвалидностью; одаренным детям)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br/>
              <w:t>(«критический» показатель)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Наличие специальных тематических зон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Выделение и оснащение тематического пространства </w:t>
            </w: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(помещения) для отдыха и эмоционального восстановления педагогов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100%1 из 1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Профилактика травли в образовательной среде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50%1 из 2</w:t>
            </w:r>
          </w:p>
        </w:tc>
      </w:tr>
      <w:tr w:rsidR="00D756DD" w:rsidRPr="00D756DD" w:rsidTr="00D756DD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Профилактика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поведения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Ключевое условие «Школьный климат»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756DD" w:rsidRPr="00D756DD" w:rsidRDefault="00D756DD" w:rsidP="00D756DD">
            <w:pPr>
              <w:spacing w:after="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 w:rsidRPr="00D756DD"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100%2 из 2</w:t>
            </w:r>
          </w:p>
        </w:tc>
      </w:tr>
    </w:tbl>
    <w:p w:rsidR="00D124AF" w:rsidRDefault="00D124AF"/>
    <w:sectPr w:rsidR="00D124AF" w:rsidSect="00D75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D"/>
    <w:rsid w:val="00D124AF"/>
    <w:rsid w:val="00D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34A8-007A-4D7B-A86E-6133421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7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x-icon">
    <w:name w:val="ngx-icon"/>
    <w:basedOn w:val="a0"/>
    <w:rsid w:val="00D756DD"/>
  </w:style>
  <w:style w:type="paragraph" w:styleId="a3">
    <w:name w:val="Normal (Web)"/>
    <w:basedOn w:val="a"/>
    <w:uiPriority w:val="99"/>
    <w:semiHidden/>
    <w:unhideWhenUsed/>
    <w:rsid w:val="00D7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498-47</dc:creator>
  <cp:keywords/>
  <dc:description/>
  <cp:lastModifiedBy>498-47</cp:lastModifiedBy>
  <cp:revision>1</cp:revision>
  <dcterms:created xsi:type="dcterms:W3CDTF">2024-03-19T11:06:00Z</dcterms:created>
  <dcterms:modified xsi:type="dcterms:W3CDTF">2024-03-19T11:08:00Z</dcterms:modified>
</cp:coreProperties>
</file>